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9"/>
        <w:ind w:left="2730" w:right="2749" w:firstLine="0"/>
        <w:jc w:val="center"/>
        <w:rPr>
          <w:b/>
          <w:sz w:val="32"/>
        </w:rPr>
      </w:pPr>
      <w:r>
        <w:rPr>
          <w:b/>
          <w:color w:val="050505"/>
          <w:w w:val="105"/>
          <w:sz w:val="32"/>
        </w:rPr>
        <w:t>OFFRE D'EMPLOI</w:t>
      </w:r>
    </w:p>
    <w:p>
      <w:pPr>
        <w:spacing w:before="186"/>
        <w:ind w:left="2771" w:right="2749" w:firstLine="0"/>
        <w:jc w:val="center"/>
        <w:rPr>
          <w:b/>
          <w:sz w:val="36"/>
        </w:rPr>
      </w:pPr>
      <w:r>
        <w:rPr>
          <w:b/>
          <w:color w:val="050505"/>
          <w:sz w:val="36"/>
        </w:rPr>
        <w:t>AGENT(E) ADMINISTRATIF(-VE)</w:t>
      </w:r>
    </w:p>
    <w:p>
      <w:pPr>
        <w:pStyle w:val="Heading1"/>
        <w:spacing w:before="227"/>
        <w:ind w:left="119"/>
        <w:rPr>
          <w:u w:val="none"/>
        </w:rPr>
      </w:pPr>
      <w:r>
        <w:rPr>
          <w:color w:val="050505"/>
          <w:u w:val="thick" w:color="050505"/>
        </w:rPr>
        <w:t>DESCRIPTION DU POSTE</w:t>
      </w:r>
    </w:p>
    <w:p>
      <w:pPr>
        <w:pStyle w:val="BodyText"/>
        <w:spacing w:before="7"/>
        <w:ind w:firstLine="0"/>
        <w:rPr>
          <w:b/>
        </w:rPr>
      </w:pPr>
    </w:p>
    <w:p>
      <w:pPr>
        <w:pStyle w:val="BodyText"/>
        <w:spacing w:line="268" w:lineRule="auto" w:before="91"/>
        <w:ind w:left="122" w:right="566" w:hanging="6"/>
      </w:pPr>
      <w:r>
        <w:rPr>
          <w:color w:val="050505"/>
          <w:w w:val="105"/>
        </w:rPr>
        <w:t>Sous la responsabilité de la Directrice générale, le secrétaire-comptable exécute une variété de tâches reliées </w:t>
      </w:r>
      <w:r>
        <w:rPr>
          <w:rFonts w:ascii="Times New Roman" w:hAnsi="Times New Roman"/>
          <w:color w:val="050505"/>
          <w:w w:val="105"/>
          <w:sz w:val="21"/>
        </w:rPr>
        <w:t>à </w:t>
      </w:r>
      <w:r>
        <w:rPr>
          <w:color w:val="050505"/>
          <w:w w:val="105"/>
        </w:rPr>
        <w:t>l'application et au contrôle des normes et des procédures administratives associées </w:t>
      </w:r>
      <w:r>
        <w:rPr>
          <w:rFonts w:ascii="Times New Roman" w:hAnsi="Times New Roman"/>
          <w:color w:val="050505"/>
          <w:w w:val="105"/>
          <w:sz w:val="21"/>
        </w:rPr>
        <w:t>à </w:t>
      </w:r>
      <w:r>
        <w:rPr>
          <w:color w:val="050505"/>
          <w:w w:val="105"/>
        </w:rPr>
        <w:t>l'accueil, </w:t>
      </w:r>
      <w:r>
        <w:rPr>
          <w:rFonts w:ascii="Times New Roman" w:hAnsi="Times New Roman"/>
          <w:color w:val="050505"/>
          <w:w w:val="105"/>
          <w:sz w:val="21"/>
        </w:rPr>
        <w:t>à </w:t>
      </w:r>
      <w:r>
        <w:rPr>
          <w:color w:val="050505"/>
          <w:w w:val="105"/>
        </w:rPr>
        <w:t>la comptabilité municipale, </w:t>
      </w:r>
      <w:r>
        <w:rPr>
          <w:rFonts w:ascii="Times New Roman" w:hAnsi="Times New Roman"/>
          <w:color w:val="050505"/>
          <w:w w:val="105"/>
          <w:sz w:val="21"/>
        </w:rPr>
        <w:t>à </w:t>
      </w:r>
      <w:r>
        <w:rPr>
          <w:color w:val="050505"/>
          <w:w w:val="105"/>
        </w:rPr>
        <w:t>la taxation, </w:t>
      </w:r>
      <w:r>
        <w:rPr>
          <w:rFonts w:ascii="Times New Roman" w:hAnsi="Times New Roman"/>
          <w:color w:val="050505"/>
          <w:w w:val="105"/>
          <w:sz w:val="21"/>
        </w:rPr>
        <w:t>à </w:t>
      </w:r>
      <w:r>
        <w:rPr>
          <w:color w:val="050505"/>
          <w:w w:val="105"/>
        </w:rPr>
        <w:t>la perception et aux comptes fourn isseurs</w:t>
      </w:r>
      <w:r>
        <w:rPr>
          <w:color w:val="212121"/>
          <w:w w:val="105"/>
        </w:rPr>
        <w:t>.</w:t>
      </w:r>
    </w:p>
    <w:p>
      <w:pPr>
        <w:pStyle w:val="BodyText"/>
        <w:spacing w:before="0"/>
        <w:ind w:firstLine="0"/>
      </w:pPr>
    </w:p>
    <w:p>
      <w:pPr>
        <w:pStyle w:val="Heading1"/>
        <w:spacing w:before="94"/>
        <w:rPr>
          <w:u w:val="none"/>
        </w:rPr>
      </w:pPr>
      <w:r>
        <w:rPr>
          <w:color w:val="050505"/>
          <w:u w:val="thick" w:color="050505"/>
        </w:rPr>
        <w:t>TÂCHES </w:t>
      </w:r>
      <w:r>
        <w:rPr>
          <w:b w:val="0"/>
          <w:color w:val="050505"/>
          <w:sz w:val="20"/>
          <w:u w:val="none"/>
        </w:rPr>
        <w:t>ET </w:t>
      </w:r>
      <w:r>
        <w:rPr>
          <w:color w:val="050505"/>
          <w:u w:val="thick" w:color="050505"/>
        </w:rPr>
        <w:t>RESPONSABILITÉS</w:t>
      </w:r>
    </w:p>
    <w:p>
      <w:pPr>
        <w:pStyle w:val="BodyText"/>
        <w:spacing w:before="9"/>
        <w:ind w:firstLine="0"/>
        <w:rPr>
          <w:b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845" w:val="left" w:leader="none"/>
          <w:tab w:pos="846" w:val="left" w:leader="none"/>
        </w:tabs>
        <w:spacing w:line="240" w:lineRule="auto" w:before="0" w:after="0"/>
        <w:ind w:left="845" w:right="0" w:hanging="356"/>
        <w:jc w:val="left"/>
        <w:rPr>
          <w:sz w:val="19"/>
        </w:rPr>
      </w:pPr>
      <w:r>
        <w:rPr>
          <w:color w:val="050505"/>
          <w:w w:val="105"/>
          <w:sz w:val="19"/>
        </w:rPr>
        <w:t>Effectuer le traitement relié aux comptes fournisseurs et aux comptes </w:t>
      </w:r>
      <w:r>
        <w:rPr>
          <w:rFonts w:ascii="Times New Roman" w:hAnsi="Times New Roman"/>
          <w:color w:val="050505"/>
          <w:w w:val="105"/>
          <w:sz w:val="21"/>
        </w:rPr>
        <w:t>à</w:t>
      </w:r>
      <w:r>
        <w:rPr>
          <w:rFonts w:ascii="Times New Roman" w:hAnsi="Times New Roman"/>
          <w:color w:val="050505"/>
          <w:spacing w:val="35"/>
          <w:w w:val="105"/>
          <w:sz w:val="21"/>
        </w:rPr>
        <w:t> </w:t>
      </w:r>
      <w:r>
        <w:rPr>
          <w:color w:val="050505"/>
          <w:w w:val="105"/>
          <w:sz w:val="19"/>
        </w:rPr>
        <w:t>recevoir;</w:t>
      </w:r>
    </w:p>
    <w:p>
      <w:pPr>
        <w:pStyle w:val="ListParagraph"/>
        <w:numPr>
          <w:ilvl w:val="0"/>
          <w:numId w:val="1"/>
        </w:numPr>
        <w:tabs>
          <w:tab w:pos="845" w:val="left" w:leader="none"/>
          <w:tab w:pos="846" w:val="left" w:leader="none"/>
        </w:tabs>
        <w:spacing w:line="240" w:lineRule="auto" w:before="161" w:after="0"/>
        <w:ind w:left="845" w:right="0" w:hanging="356"/>
        <w:jc w:val="left"/>
        <w:rPr>
          <w:sz w:val="19"/>
        </w:rPr>
      </w:pPr>
      <w:r>
        <w:rPr>
          <w:color w:val="050505"/>
          <w:w w:val="105"/>
          <w:sz w:val="19"/>
        </w:rPr>
        <w:t>Effectuer les écritures de journal, les</w:t>
      </w:r>
      <w:r>
        <w:rPr>
          <w:color w:val="050505"/>
          <w:spacing w:val="-17"/>
          <w:w w:val="105"/>
          <w:sz w:val="19"/>
        </w:rPr>
        <w:t> </w:t>
      </w:r>
      <w:r>
        <w:rPr>
          <w:color w:val="050505"/>
          <w:w w:val="105"/>
          <w:sz w:val="19"/>
        </w:rPr>
        <w:t>encaissements;</w:t>
      </w:r>
    </w:p>
    <w:p>
      <w:pPr>
        <w:pStyle w:val="ListParagraph"/>
        <w:numPr>
          <w:ilvl w:val="0"/>
          <w:numId w:val="1"/>
        </w:numPr>
        <w:tabs>
          <w:tab w:pos="836" w:val="left" w:leader="none"/>
          <w:tab w:pos="837" w:val="left" w:leader="none"/>
        </w:tabs>
        <w:spacing w:line="240" w:lineRule="auto" w:before="175" w:after="0"/>
        <w:ind w:left="836" w:right="0" w:hanging="347"/>
        <w:jc w:val="left"/>
        <w:rPr>
          <w:sz w:val="19"/>
        </w:rPr>
      </w:pPr>
      <w:r>
        <w:rPr>
          <w:color w:val="050505"/>
          <w:w w:val="105"/>
          <w:sz w:val="19"/>
        </w:rPr>
        <w:t>Gestion des encaissements (chèques, chèques postdatés, taxes, photocopies/télécopies,</w:t>
      </w:r>
      <w:r>
        <w:rPr>
          <w:color w:val="050505"/>
          <w:spacing w:val="-33"/>
          <w:w w:val="105"/>
          <w:sz w:val="19"/>
        </w:rPr>
        <w:t> </w:t>
      </w:r>
      <w:r>
        <w:rPr>
          <w:color w:val="050505"/>
          <w:w w:val="105"/>
          <w:sz w:val="19"/>
        </w:rPr>
        <w:t>etc</w:t>
      </w:r>
      <w:r>
        <w:rPr>
          <w:color w:val="3F3F3F"/>
          <w:w w:val="105"/>
          <w:sz w:val="19"/>
        </w:rPr>
        <w:t>.</w:t>
      </w:r>
      <w:r>
        <w:rPr>
          <w:color w:val="050505"/>
          <w:w w:val="105"/>
          <w:sz w:val="19"/>
        </w:rPr>
        <w:t>);</w:t>
      </w:r>
    </w:p>
    <w:p>
      <w:pPr>
        <w:pStyle w:val="ListParagraph"/>
        <w:numPr>
          <w:ilvl w:val="0"/>
          <w:numId w:val="1"/>
        </w:numPr>
        <w:tabs>
          <w:tab w:pos="837" w:val="left" w:leader="none"/>
          <w:tab w:pos="838" w:val="left" w:leader="none"/>
        </w:tabs>
        <w:spacing w:line="290" w:lineRule="auto" w:before="153" w:after="0"/>
        <w:ind w:left="843" w:right="119" w:hanging="354"/>
        <w:jc w:val="left"/>
        <w:rPr>
          <w:sz w:val="19"/>
        </w:rPr>
      </w:pPr>
      <w:r>
        <w:rPr>
          <w:color w:val="050505"/>
          <w:w w:val="105"/>
          <w:sz w:val="19"/>
        </w:rPr>
        <w:t>Service </w:t>
      </w:r>
      <w:r>
        <w:rPr>
          <w:rFonts w:ascii="Times New Roman" w:hAnsi="Times New Roman"/>
          <w:color w:val="050505"/>
          <w:w w:val="105"/>
          <w:sz w:val="21"/>
        </w:rPr>
        <w:t>à </w:t>
      </w:r>
      <w:r>
        <w:rPr>
          <w:color w:val="050505"/>
          <w:w w:val="105"/>
          <w:sz w:val="19"/>
        </w:rPr>
        <w:t>la clientèle (réception des paiements de taxes, réception des plaintes, demandes des citoyens, photocopies,</w:t>
      </w:r>
      <w:r>
        <w:rPr>
          <w:color w:val="050505"/>
          <w:spacing w:val="6"/>
          <w:w w:val="105"/>
          <w:sz w:val="19"/>
        </w:rPr>
        <w:t> </w:t>
      </w:r>
      <w:r>
        <w:rPr>
          <w:color w:val="050505"/>
          <w:w w:val="105"/>
          <w:sz w:val="19"/>
        </w:rPr>
        <w:t>etc.);</w:t>
      </w:r>
    </w:p>
    <w:p>
      <w:pPr>
        <w:pStyle w:val="ListParagraph"/>
        <w:numPr>
          <w:ilvl w:val="0"/>
          <w:numId w:val="1"/>
        </w:numPr>
        <w:tabs>
          <w:tab w:pos="836" w:val="left" w:leader="none"/>
          <w:tab w:pos="837" w:val="left" w:leader="none"/>
        </w:tabs>
        <w:spacing w:line="240" w:lineRule="auto" w:before="125" w:after="0"/>
        <w:ind w:left="836" w:right="0" w:hanging="347"/>
        <w:jc w:val="left"/>
        <w:rPr>
          <w:sz w:val="19"/>
        </w:rPr>
      </w:pPr>
      <w:r>
        <w:rPr>
          <w:color w:val="050505"/>
          <w:w w:val="105"/>
          <w:sz w:val="19"/>
        </w:rPr>
        <w:t>Classement et archivage des factures et des chèques aux</w:t>
      </w:r>
      <w:r>
        <w:rPr>
          <w:color w:val="050505"/>
          <w:spacing w:val="-34"/>
          <w:w w:val="105"/>
          <w:sz w:val="19"/>
        </w:rPr>
        <w:t> </w:t>
      </w:r>
      <w:r>
        <w:rPr>
          <w:color w:val="050505"/>
          <w:w w:val="105"/>
          <w:sz w:val="19"/>
        </w:rPr>
        <w:t>fournisseurs.</w:t>
      </w:r>
    </w:p>
    <w:p>
      <w:pPr>
        <w:pStyle w:val="ListParagraph"/>
        <w:numPr>
          <w:ilvl w:val="0"/>
          <w:numId w:val="1"/>
        </w:numPr>
        <w:tabs>
          <w:tab w:pos="845" w:val="left" w:leader="none"/>
          <w:tab w:pos="847" w:val="left" w:leader="none"/>
        </w:tabs>
        <w:spacing w:line="285" w:lineRule="auto" w:before="148" w:after="0"/>
        <w:ind w:left="843" w:right="114" w:hanging="354"/>
        <w:jc w:val="left"/>
        <w:rPr>
          <w:sz w:val="19"/>
        </w:rPr>
      </w:pPr>
      <w:r>
        <w:rPr>
          <w:color w:val="050505"/>
          <w:w w:val="105"/>
          <w:sz w:val="19"/>
        </w:rPr>
        <w:t>Participer </w:t>
      </w:r>
      <w:r>
        <w:rPr>
          <w:rFonts w:ascii="Times New Roman" w:hAnsi="Times New Roman"/>
          <w:color w:val="050505"/>
          <w:w w:val="105"/>
          <w:sz w:val="21"/>
        </w:rPr>
        <w:t>à </w:t>
      </w:r>
      <w:r>
        <w:rPr>
          <w:color w:val="050505"/>
          <w:w w:val="105"/>
          <w:sz w:val="19"/>
        </w:rPr>
        <w:t>la préparation des rapports et des documents pour la vérification comptable, le conseil et les avis publics;</w:t>
      </w:r>
    </w:p>
    <w:p>
      <w:pPr>
        <w:pStyle w:val="ListParagraph"/>
        <w:numPr>
          <w:ilvl w:val="0"/>
          <w:numId w:val="1"/>
        </w:numPr>
        <w:tabs>
          <w:tab w:pos="846" w:val="left" w:leader="none"/>
          <w:tab w:pos="847" w:val="left" w:leader="none"/>
        </w:tabs>
        <w:spacing w:line="285" w:lineRule="auto" w:before="111" w:after="0"/>
        <w:ind w:left="844" w:right="115" w:hanging="355"/>
        <w:jc w:val="left"/>
        <w:rPr>
          <w:sz w:val="19"/>
        </w:rPr>
      </w:pPr>
      <w:r>
        <w:rPr>
          <w:color w:val="050505"/>
          <w:w w:val="105"/>
          <w:sz w:val="19"/>
        </w:rPr>
        <w:t>Assurer le suivi des différentes facturations applicable aux règlements municipaux</w:t>
      </w:r>
      <w:r>
        <w:rPr>
          <w:color w:val="212121"/>
          <w:w w:val="105"/>
          <w:sz w:val="19"/>
        </w:rPr>
        <w:t>, </w:t>
      </w:r>
      <w:r>
        <w:rPr>
          <w:rFonts w:ascii="Times New Roman" w:hAnsi="Times New Roman"/>
          <w:color w:val="050505"/>
          <w:w w:val="105"/>
          <w:sz w:val="21"/>
        </w:rPr>
        <w:t>à </w:t>
      </w:r>
      <w:r>
        <w:rPr>
          <w:color w:val="050505"/>
          <w:w w:val="105"/>
          <w:sz w:val="19"/>
        </w:rPr>
        <w:t>la taxe foncière et </w:t>
      </w:r>
      <w:r>
        <w:rPr>
          <w:rFonts w:ascii="Times New Roman" w:hAnsi="Times New Roman"/>
          <w:color w:val="050505"/>
          <w:w w:val="105"/>
          <w:sz w:val="21"/>
        </w:rPr>
        <w:t>à </w:t>
      </w:r>
      <w:r>
        <w:rPr>
          <w:color w:val="050505"/>
          <w:w w:val="105"/>
          <w:sz w:val="19"/>
        </w:rPr>
        <w:t>toutes autres</w:t>
      </w:r>
      <w:r>
        <w:rPr>
          <w:color w:val="050505"/>
          <w:spacing w:val="4"/>
          <w:w w:val="105"/>
          <w:sz w:val="19"/>
        </w:rPr>
        <w:t> </w:t>
      </w:r>
      <w:r>
        <w:rPr>
          <w:color w:val="050505"/>
          <w:w w:val="105"/>
          <w:sz w:val="19"/>
        </w:rPr>
        <w:t>facturations;</w:t>
      </w:r>
    </w:p>
    <w:p>
      <w:pPr>
        <w:pStyle w:val="BodyText"/>
        <w:spacing w:before="0"/>
        <w:ind w:firstLine="0"/>
        <w:rPr>
          <w:sz w:val="14"/>
        </w:rPr>
      </w:pPr>
    </w:p>
    <w:p>
      <w:pPr>
        <w:pStyle w:val="Heading1"/>
        <w:ind w:left="116"/>
        <w:rPr>
          <w:u w:val="none"/>
        </w:rPr>
      </w:pPr>
      <w:r>
        <w:rPr>
          <w:color w:val="050505"/>
          <w:u w:val="thick" w:color="050505"/>
        </w:rPr>
        <w:t>QUALIFICATIONS </w:t>
      </w:r>
      <w:r>
        <w:rPr>
          <w:b w:val="0"/>
          <w:color w:val="050505"/>
          <w:sz w:val="20"/>
          <w:u w:val="none"/>
        </w:rPr>
        <w:t>ET </w:t>
      </w:r>
      <w:r>
        <w:rPr>
          <w:color w:val="050505"/>
          <w:u w:val="thick" w:color="050505"/>
        </w:rPr>
        <w:t>EXIGENCES</w:t>
      </w:r>
    </w:p>
    <w:p>
      <w:pPr>
        <w:pStyle w:val="BodyText"/>
        <w:spacing w:before="9"/>
        <w:ind w:firstLine="0"/>
        <w:rPr>
          <w:b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845" w:val="left" w:leader="none"/>
          <w:tab w:pos="847" w:val="left" w:leader="none"/>
        </w:tabs>
        <w:spacing w:line="240" w:lineRule="auto" w:before="1" w:after="0"/>
        <w:ind w:left="846" w:right="0" w:hanging="357"/>
        <w:jc w:val="left"/>
        <w:rPr>
          <w:sz w:val="19"/>
        </w:rPr>
      </w:pPr>
      <w:r>
        <w:rPr>
          <w:color w:val="050505"/>
          <w:w w:val="105"/>
          <w:sz w:val="19"/>
        </w:rPr>
        <w:t>Diplôme d'études professionnelles ou collégiales en comptabilité ou domaine connexe </w:t>
      </w:r>
      <w:r>
        <w:rPr>
          <w:rFonts w:ascii="Times New Roman" w:hAnsi="Times New Roman"/>
          <w:color w:val="050505"/>
          <w:w w:val="105"/>
          <w:sz w:val="21"/>
        </w:rPr>
        <w:t>à </w:t>
      </w:r>
      <w:r>
        <w:rPr>
          <w:color w:val="050505"/>
          <w:w w:val="105"/>
          <w:sz w:val="19"/>
        </w:rPr>
        <w:t>la</w:t>
      </w:r>
      <w:r>
        <w:rPr>
          <w:color w:val="050505"/>
          <w:spacing w:val="-38"/>
          <w:w w:val="105"/>
          <w:sz w:val="19"/>
        </w:rPr>
        <w:t> </w:t>
      </w:r>
      <w:r>
        <w:rPr>
          <w:color w:val="050505"/>
          <w:w w:val="105"/>
          <w:sz w:val="19"/>
        </w:rPr>
        <w:t>gestion;</w:t>
      </w:r>
    </w:p>
    <w:p>
      <w:pPr>
        <w:pStyle w:val="ListParagraph"/>
        <w:numPr>
          <w:ilvl w:val="0"/>
          <w:numId w:val="1"/>
        </w:numPr>
        <w:tabs>
          <w:tab w:pos="845" w:val="left" w:leader="none"/>
          <w:tab w:pos="846" w:val="left" w:leader="none"/>
        </w:tabs>
        <w:spacing w:line="240" w:lineRule="auto" w:before="152" w:after="0"/>
        <w:ind w:left="845" w:right="0" w:hanging="356"/>
        <w:jc w:val="left"/>
        <w:rPr>
          <w:sz w:val="19"/>
        </w:rPr>
      </w:pPr>
      <w:r>
        <w:rPr>
          <w:color w:val="050505"/>
          <w:w w:val="105"/>
          <w:sz w:val="19"/>
        </w:rPr>
        <w:t>Expérience pertinente de trois (3) </w:t>
      </w:r>
      <w:r>
        <w:rPr>
          <w:rFonts w:ascii="Times New Roman" w:hAnsi="Times New Roman"/>
          <w:color w:val="050505"/>
          <w:w w:val="105"/>
          <w:sz w:val="21"/>
        </w:rPr>
        <w:t>à </w:t>
      </w:r>
      <w:r>
        <w:rPr>
          <w:color w:val="050505"/>
          <w:w w:val="105"/>
          <w:sz w:val="19"/>
        </w:rPr>
        <w:t>cinq (5)</w:t>
      </w:r>
      <w:r>
        <w:rPr>
          <w:color w:val="050505"/>
          <w:spacing w:val="-8"/>
          <w:w w:val="105"/>
          <w:sz w:val="19"/>
        </w:rPr>
        <w:t> </w:t>
      </w:r>
      <w:r>
        <w:rPr>
          <w:color w:val="050505"/>
          <w:w w:val="105"/>
          <w:sz w:val="19"/>
        </w:rPr>
        <w:t>ans;</w:t>
      </w:r>
    </w:p>
    <w:p>
      <w:pPr>
        <w:pStyle w:val="ListParagraph"/>
        <w:numPr>
          <w:ilvl w:val="0"/>
          <w:numId w:val="1"/>
        </w:numPr>
        <w:tabs>
          <w:tab w:pos="845" w:val="left" w:leader="none"/>
          <w:tab w:pos="846" w:val="left" w:leader="none"/>
        </w:tabs>
        <w:spacing w:line="240" w:lineRule="auto" w:before="166" w:after="0"/>
        <w:ind w:left="845" w:right="0" w:hanging="356"/>
        <w:jc w:val="left"/>
        <w:rPr>
          <w:sz w:val="19"/>
        </w:rPr>
      </w:pPr>
      <w:r>
        <w:rPr>
          <w:color w:val="050505"/>
          <w:w w:val="105"/>
          <w:sz w:val="19"/>
        </w:rPr>
        <w:t>Excellente</w:t>
      </w:r>
      <w:r>
        <w:rPr>
          <w:color w:val="050505"/>
          <w:spacing w:val="1"/>
          <w:w w:val="105"/>
          <w:sz w:val="19"/>
        </w:rPr>
        <w:t> </w:t>
      </w:r>
      <w:r>
        <w:rPr>
          <w:color w:val="050505"/>
          <w:w w:val="105"/>
          <w:sz w:val="19"/>
        </w:rPr>
        <w:t>maîtrise</w:t>
      </w:r>
      <w:r>
        <w:rPr>
          <w:color w:val="050505"/>
          <w:spacing w:val="-5"/>
          <w:w w:val="105"/>
          <w:sz w:val="19"/>
        </w:rPr>
        <w:t> </w:t>
      </w:r>
      <w:r>
        <w:rPr>
          <w:color w:val="050505"/>
          <w:w w:val="105"/>
          <w:sz w:val="19"/>
        </w:rPr>
        <w:t>du logiciel</w:t>
      </w:r>
      <w:r>
        <w:rPr>
          <w:color w:val="050505"/>
          <w:spacing w:val="-5"/>
          <w:w w:val="105"/>
          <w:sz w:val="19"/>
        </w:rPr>
        <w:t> </w:t>
      </w:r>
      <w:r>
        <w:rPr>
          <w:color w:val="050505"/>
          <w:w w:val="105"/>
          <w:sz w:val="19"/>
        </w:rPr>
        <w:t>Simple</w:t>
      </w:r>
      <w:r>
        <w:rPr>
          <w:color w:val="050505"/>
          <w:spacing w:val="-5"/>
          <w:w w:val="105"/>
          <w:sz w:val="19"/>
        </w:rPr>
        <w:t> </w:t>
      </w:r>
      <w:r>
        <w:rPr>
          <w:color w:val="050505"/>
          <w:w w:val="105"/>
          <w:sz w:val="19"/>
        </w:rPr>
        <w:t>comptable</w:t>
      </w:r>
      <w:r>
        <w:rPr>
          <w:color w:val="050505"/>
          <w:spacing w:val="-4"/>
          <w:w w:val="105"/>
          <w:sz w:val="19"/>
        </w:rPr>
        <w:t> </w:t>
      </w:r>
      <w:r>
        <w:rPr>
          <w:color w:val="050505"/>
          <w:w w:val="105"/>
          <w:sz w:val="19"/>
        </w:rPr>
        <w:t>et</w:t>
      </w:r>
      <w:r>
        <w:rPr>
          <w:color w:val="050505"/>
          <w:spacing w:val="5"/>
          <w:w w:val="105"/>
          <w:sz w:val="19"/>
        </w:rPr>
        <w:t> </w:t>
      </w:r>
      <w:r>
        <w:rPr>
          <w:color w:val="050505"/>
          <w:w w:val="105"/>
          <w:sz w:val="19"/>
        </w:rPr>
        <w:t>de</w:t>
      </w:r>
      <w:r>
        <w:rPr>
          <w:color w:val="050505"/>
          <w:spacing w:val="-13"/>
          <w:w w:val="105"/>
          <w:sz w:val="19"/>
        </w:rPr>
        <w:t> </w:t>
      </w:r>
      <w:r>
        <w:rPr>
          <w:color w:val="050505"/>
          <w:w w:val="105"/>
          <w:sz w:val="19"/>
        </w:rPr>
        <w:t>la</w:t>
      </w:r>
      <w:r>
        <w:rPr>
          <w:color w:val="050505"/>
          <w:spacing w:val="-6"/>
          <w:w w:val="105"/>
          <w:sz w:val="19"/>
        </w:rPr>
        <w:t> </w:t>
      </w:r>
      <w:r>
        <w:rPr>
          <w:color w:val="050505"/>
          <w:w w:val="105"/>
          <w:sz w:val="19"/>
        </w:rPr>
        <w:t>suite</w:t>
      </w:r>
      <w:r>
        <w:rPr>
          <w:color w:val="050505"/>
          <w:spacing w:val="1"/>
          <w:w w:val="105"/>
          <w:sz w:val="19"/>
        </w:rPr>
        <w:t> </w:t>
      </w:r>
      <w:r>
        <w:rPr>
          <w:color w:val="050505"/>
          <w:w w:val="105"/>
          <w:sz w:val="19"/>
        </w:rPr>
        <w:t>Microsoft</w:t>
      </w:r>
      <w:r>
        <w:rPr>
          <w:color w:val="050505"/>
          <w:spacing w:val="-4"/>
          <w:w w:val="105"/>
          <w:sz w:val="19"/>
        </w:rPr>
        <w:t> </w:t>
      </w:r>
      <w:r>
        <w:rPr>
          <w:color w:val="050505"/>
          <w:w w:val="105"/>
          <w:sz w:val="19"/>
        </w:rPr>
        <w:t>Office,</w:t>
      </w:r>
      <w:r>
        <w:rPr>
          <w:color w:val="050505"/>
          <w:spacing w:val="-10"/>
          <w:w w:val="105"/>
          <w:sz w:val="19"/>
        </w:rPr>
        <w:t> </w:t>
      </w:r>
      <w:r>
        <w:rPr>
          <w:color w:val="050505"/>
          <w:w w:val="105"/>
          <w:sz w:val="19"/>
        </w:rPr>
        <w:t>système de</w:t>
      </w:r>
      <w:r>
        <w:rPr>
          <w:color w:val="050505"/>
          <w:spacing w:val="-13"/>
          <w:w w:val="105"/>
          <w:sz w:val="19"/>
        </w:rPr>
        <w:t> </w:t>
      </w:r>
      <w:r>
        <w:rPr>
          <w:color w:val="050505"/>
          <w:w w:val="105"/>
          <w:sz w:val="19"/>
        </w:rPr>
        <w:t>taxation</w:t>
      </w:r>
      <w:r>
        <w:rPr>
          <w:color w:val="050505"/>
          <w:spacing w:val="6"/>
          <w:w w:val="105"/>
          <w:sz w:val="19"/>
        </w:rPr>
        <w:t> </w:t>
      </w:r>
      <w:r>
        <w:rPr>
          <w:color w:val="050505"/>
          <w:w w:val="105"/>
          <w:sz w:val="19"/>
        </w:rPr>
        <w:t>PG</w:t>
      </w:r>
      <w:r>
        <w:rPr>
          <w:color w:val="050505"/>
          <w:spacing w:val="-9"/>
          <w:w w:val="105"/>
          <w:sz w:val="19"/>
        </w:rPr>
        <w:t> </w:t>
      </w:r>
      <w:r>
        <w:rPr>
          <w:color w:val="050505"/>
          <w:w w:val="105"/>
          <w:sz w:val="19"/>
        </w:rPr>
        <w:t>(un</w:t>
      </w:r>
      <w:r>
        <w:rPr>
          <w:color w:val="050505"/>
          <w:spacing w:val="-17"/>
          <w:w w:val="105"/>
          <w:sz w:val="19"/>
        </w:rPr>
        <w:t> </w:t>
      </w:r>
      <w:r>
        <w:rPr>
          <w:color w:val="050505"/>
          <w:w w:val="105"/>
          <w:sz w:val="19"/>
        </w:rPr>
        <w:t>atout);</w:t>
      </w:r>
    </w:p>
    <w:p>
      <w:pPr>
        <w:pStyle w:val="ListParagraph"/>
        <w:numPr>
          <w:ilvl w:val="0"/>
          <w:numId w:val="1"/>
        </w:numPr>
        <w:tabs>
          <w:tab w:pos="845" w:val="left" w:leader="none"/>
          <w:tab w:pos="846" w:val="left" w:leader="none"/>
        </w:tabs>
        <w:spacing w:line="240" w:lineRule="auto" w:before="171" w:after="0"/>
        <w:ind w:left="845" w:right="0" w:hanging="356"/>
        <w:jc w:val="left"/>
        <w:rPr>
          <w:sz w:val="19"/>
        </w:rPr>
      </w:pPr>
      <w:r>
        <w:rPr>
          <w:color w:val="050505"/>
          <w:w w:val="105"/>
          <w:sz w:val="19"/>
        </w:rPr>
        <w:t>Excellente maîtrise du français et de l' anglais </w:t>
      </w:r>
      <w:r>
        <w:rPr>
          <w:color w:val="212121"/>
          <w:w w:val="105"/>
          <w:sz w:val="19"/>
        </w:rPr>
        <w:t>, </w:t>
      </w:r>
      <w:r>
        <w:rPr>
          <w:color w:val="050505"/>
          <w:w w:val="105"/>
          <w:sz w:val="19"/>
        </w:rPr>
        <w:t>parlé et écrit, avec des habilités en communication orale et</w:t>
      </w:r>
      <w:r>
        <w:rPr>
          <w:color w:val="050505"/>
          <w:spacing w:val="-30"/>
          <w:w w:val="105"/>
          <w:sz w:val="19"/>
        </w:rPr>
        <w:t> </w:t>
      </w:r>
      <w:r>
        <w:rPr>
          <w:color w:val="050505"/>
          <w:w w:val="105"/>
          <w:sz w:val="19"/>
        </w:rPr>
        <w:t>écrite;</w:t>
      </w:r>
    </w:p>
    <w:p>
      <w:pPr>
        <w:pStyle w:val="ListParagraph"/>
        <w:numPr>
          <w:ilvl w:val="0"/>
          <w:numId w:val="1"/>
        </w:numPr>
        <w:tabs>
          <w:tab w:pos="836" w:val="left" w:leader="none"/>
          <w:tab w:pos="837" w:val="left" w:leader="none"/>
        </w:tabs>
        <w:spacing w:line="240" w:lineRule="auto" w:before="170" w:after="0"/>
        <w:ind w:left="836" w:right="0" w:hanging="347"/>
        <w:jc w:val="left"/>
        <w:rPr>
          <w:sz w:val="19"/>
        </w:rPr>
      </w:pPr>
      <w:r>
        <w:rPr>
          <w:color w:val="050505"/>
          <w:w w:val="105"/>
          <w:sz w:val="19"/>
        </w:rPr>
        <w:t>Connaissance des lois et des règlements régissant les municipalités (un</w:t>
      </w:r>
      <w:r>
        <w:rPr>
          <w:color w:val="050505"/>
          <w:spacing w:val="-7"/>
          <w:w w:val="105"/>
          <w:sz w:val="19"/>
        </w:rPr>
        <w:t> </w:t>
      </w:r>
      <w:r>
        <w:rPr>
          <w:color w:val="050505"/>
          <w:w w:val="105"/>
          <w:sz w:val="19"/>
        </w:rPr>
        <w:t>atout);</w:t>
      </w:r>
    </w:p>
    <w:p>
      <w:pPr>
        <w:pStyle w:val="ListParagraph"/>
        <w:numPr>
          <w:ilvl w:val="0"/>
          <w:numId w:val="1"/>
        </w:numPr>
        <w:tabs>
          <w:tab w:pos="845" w:val="left" w:leader="none"/>
          <w:tab w:pos="847" w:val="left" w:leader="none"/>
        </w:tabs>
        <w:spacing w:line="240" w:lineRule="auto" w:before="162" w:after="0"/>
        <w:ind w:left="846" w:right="0" w:hanging="357"/>
        <w:jc w:val="left"/>
        <w:rPr>
          <w:sz w:val="19"/>
        </w:rPr>
      </w:pPr>
      <w:r>
        <w:rPr>
          <w:color w:val="050505"/>
          <w:w w:val="110"/>
          <w:sz w:val="19"/>
        </w:rPr>
        <w:t>Posséder</w:t>
      </w:r>
      <w:r>
        <w:rPr>
          <w:color w:val="050505"/>
          <w:spacing w:val="5"/>
          <w:w w:val="110"/>
          <w:sz w:val="19"/>
        </w:rPr>
        <w:t> </w:t>
      </w:r>
      <w:r>
        <w:rPr>
          <w:color w:val="050505"/>
          <w:w w:val="110"/>
          <w:sz w:val="19"/>
        </w:rPr>
        <w:t>un</w:t>
      </w:r>
      <w:r>
        <w:rPr>
          <w:color w:val="050505"/>
          <w:spacing w:val="-12"/>
          <w:w w:val="110"/>
          <w:sz w:val="19"/>
        </w:rPr>
        <w:t> </w:t>
      </w:r>
      <w:r>
        <w:rPr>
          <w:color w:val="050505"/>
          <w:w w:val="110"/>
          <w:sz w:val="19"/>
        </w:rPr>
        <w:t>sens</w:t>
      </w:r>
      <w:r>
        <w:rPr>
          <w:color w:val="050505"/>
          <w:spacing w:val="-8"/>
          <w:w w:val="110"/>
          <w:sz w:val="19"/>
        </w:rPr>
        <w:t> </w:t>
      </w:r>
      <w:r>
        <w:rPr>
          <w:color w:val="050505"/>
          <w:w w:val="110"/>
          <w:sz w:val="19"/>
        </w:rPr>
        <w:t>de</w:t>
      </w:r>
      <w:r>
        <w:rPr>
          <w:color w:val="050505"/>
          <w:spacing w:val="-12"/>
          <w:w w:val="110"/>
          <w:sz w:val="19"/>
        </w:rPr>
        <w:t> </w:t>
      </w:r>
      <w:r>
        <w:rPr>
          <w:color w:val="050505"/>
          <w:w w:val="110"/>
          <w:sz w:val="19"/>
        </w:rPr>
        <w:t>l'organisation</w:t>
      </w:r>
      <w:r>
        <w:rPr>
          <w:color w:val="050505"/>
          <w:spacing w:val="-16"/>
          <w:w w:val="110"/>
          <w:sz w:val="19"/>
        </w:rPr>
        <w:t> </w:t>
      </w:r>
      <w:r>
        <w:rPr>
          <w:color w:val="050505"/>
          <w:w w:val="110"/>
          <w:sz w:val="19"/>
        </w:rPr>
        <w:t>du</w:t>
      </w:r>
      <w:r>
        <w:rPr>
          <w:color w:val="050505"/>
          <w:spacing w:val="-10"/>
          <w:w w:val="110"/>
          <w:sz w:val="19"/>
        </w:rPr>
        <w:t> </w:t>
      </w:r>
      <w:r>
        <w:rPr>
          <w:color w:val="050505"/>
          <w:w w:val="110"/>
          <w:sz w:val="19"/>
        </w:rPr>
        <w:t>travail</w:t>
      </w:r>
      <w:r>
        <w:rPr>
          <w:color w:val="050505"/>
          <w:spacing w:val="-7"/>
          <w:w w:val="110"/>
          <w:sz w:val="19"/>
        </w:rPr>
        <w:t> </w:t>
      </w:r>
      <w:r>
        <w:rPr>
          <w:color w:val="050505"/>
          <w:w w:val="110"/>
          <w:sz w:val="19"/>
        </w:rPr>
        <w:t>et</w:t>
      </w:r>
      <w:r>
        <w:rPr>
          <w:color w:val="050505"/>
          <w:spacing w:val="-5"/>
          <w:w w:val="110"/>
          <w:sz w:val="19"/>
        </w:rPr>
        <w:t> </w:t>
      </w:r>
      <w:r>
        <w:rPr>
          <w:color w:val="050505"/>
          <w:w w:val="110"/>
          <w:sz w:val="19"/>
        </w:rPr>
        <w:t>de</w:t>
      </w:r>
      <w:r>
        <w:rPr>
          <w:color w:val="050505"/>
          <w:spacing w:val="-20"/>
          <w:w w:val="110"/>
          <w:sz w:val="19"/>
        </w:rPr>
        <w:t> </w:t>
      </w:r>
      <w:r>
        <w:rPr>
          <w:color w:val="050505"/>
          <w:w w:val="110"/>
          <w:sz w:val="19"/>
        </w:rPr>
        <w:t>la</w:t>
      </w:r>
      <w:r>
        <w:rPr>
          <w:color w:val="050505"/>
          <w:spacing w:val="-12"/>
          <w:w w:val="110"/>
          <w:sz w:val="19"/>
        </w:rPr>
        <w:t> </w:t>
      </w:r>
      <w:r>
        <w:rPr>
          <w:color w:val="050505"/>
          <w:w w:val="110"/>
          <w:sz w:val="19"/>
        </w:rPr>
        <w:t>gestion</w:t>
      </w:r>
      <w:r>
        <w:rPr>
          <w:color w:val="050505"/>
          <w:spacing w:val="-6"/>
          <w:w w:val="110"/>
          <w:sz w:val="19"/>
        </w:rPr>
        <w:t> </w:t>
      </w:r>
      <w:r>
        <w:rPr>
          <w:color w:val="050505"/>
          <w:w w:val="110"/>
          <w:sz w:val="19"/>
        </w:rPr>
        <w:t>des</w:t>
      </w:r>
      <w:r>
        <w:rPr>
          <w:color w:val="050505"/>
          <w:spacing w:val="-7"/>
          <w:w w:val="110"/>
          <w:sz w:val="19"/>
        </w:rPr>
        <w:t> </w:t>
      </w:r>
      <w:r>
        <w:rPr>
          <w:color w:val="050505"/>
          <w:w w:val="110"/>
          <w:sz w:val="19"/>
        </w:rPr>
        <w:t>priorités;</w:t>
      </w:r>
    </w:p>
    <w:p>
      <w:pPr>
        <w:pStyle w:val="ListParagraph"/>
        <w:numPr>
          <w:ilvl w:val="0"/>
          <w:numId w:val="1"/>
        </w:numPr>
        <w:tabs>
          <w:tab w:pos="846" w:val="left" w:leader="none"/>
          <w:tab w:pos="847" w:val="left" w:leader="none"/>
        </w:tabs>
        <w:spacing w:line="240" w:lineRule="auto" w:before="170" w:after="0"/>
        <w:ind w:left="846" w:right="0" w:hanging="357"/>
        <w:jc w:val="left"/>
        <w:rPr>
          <w:sz w:val="19"/>
        </w:rPr>
      </w:pPr>
      <w:r>
        <w:rPr>
          <w:color w:val="050505"/>
          <w:w w:val="105"/>
          <w:sz w:val="19"/>
        </w:rPr>
        <w:t>Avoir une approche courtoise avec les citoyens et faire preuve de</w:t>
      </w:r>
      <w:r>
        <w:rPr>
          <w:color w:val="050505"/>
          <w:spacing w:val="-41"/>
          <w:w w:val="105"/>
          <w:sz w:val="19"/>
        </w:rPr>
        <w:t> </w:t>
      </w:r>
      <w:r>
        <w:rPr>
          <w:color w:val="050505"/>
          <w:w w:val="105"/>
          <w:sz w:val="19"/>
        </w:rPr>
        <w:t>discrétion;</w:t>
      </w:r>
    </w:p>
    <w:p>
      <w:pPr>
        <w:pStyle w:val="ListParagraph"/>
        <w:numPr>
          <w:ilvl w:val="0"/>
          <w:numId w:val="1"/>
        </w:numPr>
        <w:tabs>
          <w:tab w:pos="846" w:val="left" w:leader="none"/>
          <w:tab w:pos="847" w:val="left" w:leader="none"/>
        </w:tabs>
        <w:spacing w:line="240" w:lineRule="auto" w:before="171" w:after="0"/>
        <w:ind w:left="846" w:right="0" w:hanging="357"/>
        <w:jc w:val="left"/>
        <w:rPr>
          <w:sz w:val="19"/>
        </w:rPr>
      </w:pPr>
      <w:r>
        <w:rPr>
          <w:color w:val="050505"/>
          <w:w w:val="110"/>
          <w:sz w:val="19"/>
        </w:rPr>
        <w:t>Avoir</w:t>
      </w:r>
      <w:r>
        <w:rPr>
          <w:color w:val="050505"/>
          <w:spacing w:val="2"/>
          <w:w w:val="110"/>
          <w:sz w:val="19"/>
        </w:rPr>
        <w:t> </w:t>
      </w:r>
      <w:r>
        <w:rPr>
          <w:color w:val="050505"/>
          <w:w w:val="110"/>
          <w:sz w:val="19"/>
        </w:rPr>
        <w:t>le</w:t>
      </w:r>
      <w:r>
        <w:rPr>
          <w:color w:val="050505"/>
          <w:spacing w:val="-8"/>
          <w:w w:val="110"/>
          <w:sz w:val="19"/>
        </w:rPr>
        <w:t> </w:t>
      </w:r>
      <w:r>
        <w:rPr>
          <w:color w:val="050505"/>
          <w:w w:val="110"/>
          <w:sz w:val="19"/>
        </w:rPr>
        <w:t>souci</w:t>
      </w:r>
      <w:r>
        <w:rPr>
          <w:color w:val="050505"/>
          <w:spacing w:val="-4"/>
          <w:w w:val="110"/>
          <w:sz w:val="19"/>
        </w:rPr>
        <w:t> </w:t>
      </w:r>
      <w:r>
        <w:rPr>
          <w:color w:val="050505"/>
          <w:w w:val="110"/>
          <w:sz w:val="19"/>
        </w:rPr>
        <w:t>du</w:t>
      </w:r>
      <w:r>
        <w:rPr>
          <w:color w:val="050505"/>
          <w:spacing w:val="2"/>
          <w:w w:val="110"/>
          <w:sz w:val="19"/>
        </w:rPr>
        <w:t> </w:t>
      </w:r>
      <w:r>
        <w:rPr>
          <w:color w:val="050505"/>
          <w:w w:val="110"/>
          <w:sz w:val="19"/>
        </w:rPr>
        <w:t>détail,</w:t>
      </w:r>
      <w:r>
        <w:rPr>
          <w:color w:val="050505"/>
          <w:spacing w:val="-4"/>
          <w:w w:val="110"/>
          <w:sz w:val="19"/>
        </w:rPr>
        <w:t> </w:t>
      </w:r>
      <w:r>
        <w:rPr>
          <w:color w:val="050505"/>
          <w:w w:val="110"/>
          <w:sz w:val="19"/>
        </w:rPr>
        <w:t>faire</w:t>
      </w:r>
      <w:r>
        <w:rPr>
          <w:color w:val="050505"/>
          <w:spacing w:val="-4"/>
          <w:w w:val="110"/>
          <w:sz w:val="19"/>
        </w:rPr>
        <w:t> </w:t>
      </w:r>
      <w:r>
        <w:rPr>
          <w:color w:val="050505"/>
          <w:w w:val="110"/>
          <w:sz w:val="19"/>
        </w:rPr>
        <w:t>preuve</w:t>
      </w:r>
      <w:r>
        <w:rPr>
          <w:color w:val="050505"/>
          <w:spacing w:val="-7"/>
          <w:w w:val="110"/>
          <w:sz w:val="19"/>
        </w:rPr>
        <w:t> </w:t>
      </w:r>
      <w:r>
        <w:rPr>
          <w:color w:val="050505"/>
          <w:w w:val="110"/>
          <w:sz w:val="19"/>
        </w:rPr>
        <w:t>de</w:t>
      </w:r>
      <w:r>
        <w:rPr>
          <w:color w:val="050505"/>
          <w:spacing w:val="-11"/>
          <w:w w:val="110"/>
          <w:sz w:val="19"/>
        </w:rPr>
        <w:t> </w:t>
      </w:r>
      <w:r>
        <w:rPr>
          <w:color w:val="050505"/>
          <w:w w:val="110"/>
          <w:sz w:val="19"/>
        </w:rPr>
        <w:t>minutie</w:t>
      </w:r>
      <w:r>
        <w:rPr>
          <w:color w:val="050505"/>
          <w:spacing w:val="-5"/>
          <w:w w:val="110"/>
          <w:sz w:val="19"/>
        </w:rPr>
        <w:t> </w:t>
      </w:r>
      <w:r>
        <w:rPr>
          <w:color w:val="050505"/>
          <w:w w:val="110"/>
          <w:sz w:val="19"/>
        </w:rPr>
        <w:t>et</w:t>
      </w:r>
      <w:r>
        <w:rPr>
          <w:color w:val="050505"/>
          <w:spacing w:val="-5"/>
          <w:w w:val="110"/>
          <w:sz w:val="19"/>
        </w:rPr>
        <w:t> </w:t>
      </w:r>
      <w:r>
        <w:rPr>
          <w:color w:val="050505"/>
          <w:w w:val="110"/>
          <w:sz w:val="19"/>
        </w:rPr>
        <w:t>de</w:t>
      </w:r>
      <w:r>
        <w:rPr>
          <w:color w:val="050505"/>
          <w:spacing w:val="-6"/>
          <w:w w:val="110"/>
          <w:sz w:val="19"/>
        </w:rPr>
        <w:t> </w:t>
      </w:r>
      <w:r>
        <w:rPr>
          <w:color w:val="050505"/>
          <w:w w:val="110"/>
          <w:sz w:val="19"/>
        </w:rPr>
        <w:t>rigueur;</w:t>
      </w:r>
    </w:p>
    <w:p>
      <w:pPr>
        <w:pStyle w:val="ListParagraph"/>
        <w:numPr>
          <w:ilvl w:val="0"/>
          <w:numId w:val="1"/>
        </w:numPr>
        <w:tabs>
          <w:tab w:pos="846" w:val="left" w:leader="none"/>
          <w:tab w:pos="847" w:val="left" w:leader="none"/>
        </w:tabs>
        <w:spacing w:line="240" w:lineRule="auto" w:before="171" w:after="0"/>
        <w:ind w:left="846" w:right="0" w:hanging="357"/>
        <w:jc w:val="left"/>
        <w:rPr>
          <w:sz w:val="19"/>
        </w:rPr>
      </w:pPr>
      <w:r>
        <w:rPr>
          <w:color w:val="050505"/>
          <w:w w:val="105"/>
          <w:sz w:val="19"/>
        </w:rPr>
        <w:t>Avoir un bon esprit d'analyse et</w:t>
      </w:r>
      <w:r>
        <w:rPr>
          <w:color w:val="050505"/>
          <w:spacing w:val="13"/>
          <w:w w:val="105"/>
          <w:sz w:val="19"/>
        </w:rPr>
        <w:t> </w:t>
      </w:r>
      <w:r>
        <w:rPr>
          <w:color w:val="050505"/>
          <w:w w:val="105"/>
          <w:sz w:val="19"/>
        </w:rPr>
        <w:t>d'équipe;</w:t>
      </w:r>
    </w:p>
    <w:p>
      <w:pPr>
        <w:pStyle w:val="Heading1"/>
        <w:spacing w:before="176"/>
        <w:rPr>
          <w:u w:val="none"/>
        </w:rPr>
      </w:pPr>
      <w:r>
        <w:rPr>
          <w:color w:val="050505"/>
          <w:u w:val="thick" w:color="050505"/>
        </w:rPr>
        <w:t>CONDITIONS DE TRAVAIL</w:t>
      </w:r>
    </w:p>
    <w:p>
      <w:pPr>
        <w:pStyle w:val="BodyText"/>
        <w:spacing w:before="9"/>
        <w:ind w:firstLine="0"/>
        <w:rPr>
          <w:b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842" w:val="left" w:leader="none"/>
          <w:tab w:pos="844" w:val="left" w:leader="none"/>
        </w:tabs>
        <w:spacing w:line="240" w:lineRule="auto" w:before="0" w:after="0"/>
        <w:ind w:left="843" w:right="0" w:hanging="354"/>
        <w:jc w:val="left"/>
        <w:rPr>
          <w:sz w:val="19"/>
        </w:rPr>
      </w:pPr>
      <w:r>
        <w:rPr>
          <w:color w:val="050505"/>
          <w:w w:val="110"/>
          <w:sz w:val="19"/>
        </w:rPr>
        <w:t>Il</w:t>
      </w:r>
      <w:r>
        <w:rPr>
          <w:color w:val="050505"/>
          <w:spacing w:val="6"/>
          <w:w w:val="110"/>
          <w:sz w:val="19"/>
        </w:rPr>
        <w:t> </w:t>
      </w:r>
      <w:r>
        <w:rPr>
          <w:color w:val="050505"/>
          <w:w w:val="110"/>
          <w:sz w:val="19"/>
        </w:rPr>
        <w:t>s'agit</w:t>
      </w:r>
      <w:r>
        <w:rPr>
          <w:color w:val="050505"/>
          <w:spacing w:val="-9"/>
          <w:w w:val="110"/>
          <w:sz w:val="19"/>
        </w:rPr>
        <w:t> </w:t>
      </w:r>
      <w:r>
        <w:rPr>
          <w:color w:val="050505"/>
          <w:w w:val="110"/>
          <w:sz w:val="19"/>
        </w:rPr>
        <w:t>d'un</w:t>
      </w:r>
      <w:r>
        <w:rPr>
          <w:color w:val="050505"/>
          <w:spacing w:val="-10"/>
          <w:w w:val="110"/>
          <w:sz w:val="19"/>
        </w:rPr>
        <w:t> </w:t>
      </w:r>
      <w:r>
        <w:rPr>
          <w:color w:val="050505"/>
          <w:w w:val="110"/>
          <w:sz w:val="19"/>
        </w:rPr>
        <w:t>poste</w:t>
      </w:r>
      <w:r>
        <w:rPr>
          <w:color w:val="050505"/>
          <w:spacing w:val="-9"/>
          <w:w w:val="110"/>
          <w:sz w:val="19"/>
        </w:rPr>
        <w:t> </w:t>
      </w:r>
      <w:r>
        <w:rPr>
          <w:rFonts w:ascii="Times New Roman" w:hAnsi="Times New Roman"/>
          <w:color w:val="050505"/>
          <w:w w:val="110"/>
          <w:sz w:val="21"/>
        </w:rPr>
        <w:t>à</w:t>
      </w:r>
      <w:r>
        <w:rPr>
          <w:rFonts w:ascii="Times New Roman" w:hAnsi="Times New Roman"/>
          <w:color w:val="050505"/>
          <w:spacing w:val="11"/>
          <w:w w:val="110"/>
          <w:sz w:val="21"/>
        </w:rPr>
        <w:t> </w:t>
      </w:r>
      <w:r>
        <w:rPr>
          <w:color w:val="050505"/>
          <w:w w:val="110"/>
          <w:sz w:val="19"/>
        </w:rPr>
        <w:t>temps</w:t>
      </w:r>
      <w:r>
        <w:rPr>
          <w:color w:val="050505"/>
          <w:spacing w:val="-13"/>
          <w:w w:val="110"/>
          <w:sz w:val="19"/>
        </w:rPr>
        <w:t> </w:t>
      </w:r>
      <w:r>
        <w:rPr>
          <w:color w:val="050505"/>
          <w:w w:val="110"/>
          <w:sz w:val="19"/>
        </w:rPr>
        <w:t>plein</w:t>
      </w:r>
      <w:r>
        <w:rPr>
          <w:color w:val="050505"/>
          <w:spacing w:val="-7"/>
          <w:w w:val="110"/>
          <w:sz w:val="19"/>
        </w:rPr>
        <w:t> </w:t>
      </w:r>
      <w:r>
        <w:rPr>
          <w:color w:val="050505"/>
          <w:w w:val="110"/>
          <w:sz w:val="19"/>
        </w:rPr>
        <w:t>et</w:t>
      </w:r>
      <w:r>
        <w:rPr>
          <w:color w:val="050505"/>
          <w:spacing w:val="-4"/>
          <w:w w:val="110"/>
          <w:sz w:val="19"/>
        </w:rPr>
        <w:t> </w:t>
      </w:r>
      <w:r>
        <w:rPr>
          <w:color w:val="050505"/>
          <w:w w:val="110"/>
          <w:sz w:val="19"/>
        </w:rPr>
        <w:t>permanent,</w:t>
      </w:r>
      <w:r>
        <w:rPr>
          <w:color w:val="050505"/>
          <w:spacing w:val="-7"/>
          <w:w w:val="110"/>
          <w:sz w:val="19"/>
        </w:rPr>
        <w:t> </w:t>
      </w:r>
      <w:r>
        <w:rPr>
          <w:color w:val="050505"/>
          <w:w w:val="110"/>
          <w:sz w:val="19"/>
        </w:rPr>
        <w:t>offrant</w:t>
      </w:r>
      <w:r>
        <w:rPr>
          <w:color w:val="050505"/>
          <w:spacing w:val="-4"/>
          <w:w w:val="110"/>
          <w:sz w:val="19"/>
        </w:rPr>
        <w:t> </w:t>
      </w:r>
      <w:r>
        <w:rPr>
          <w:color w:val="050505"/>
          <w:w w:val="110"/>
          <w:sz w:val="19"/>
        </w:rPr>
        <w:t>30</w:t>
      </w:r>
      <w:r>
        <w:rPr>
          <w:color w:val="050505"/>
          <w:spacing w:val="-21"/>
          <w:w w:val="110"/>
          <w:sz w:val="19"/>
        </w:rPr>
        <w:t> </w:t>
      </w:r>
      <w:r>
        <w:rPr>
          <w:color w:val="050505"/>
          <w:w w:val="110"/>
          <w:sz w:val="19"/>
        </w:rPr>
        <w:t>heures</w:t>
      </w:r>
      <w:r>
        <w:rPr>
          <w:color w:val="050505"/>
          <w:spacing w:val="-8"/>
          <w:w w:val="110"/>
          <w:sz w:val="19"/>
        </w:rPr>
        <w:t> </w:t>
      </w:r>
      <w:r>
        <w:rPr>
          <w:color w:val="050505"/>
          <w:w w:val="110"/>
          <w:sz w:val="19"/>
        </w:rPr>
        <w:t>par</w:t>
      </w:r>
      <w:r>
        <w:rPr>
          <w:color w:val="050505"/>
          <w:spacing w:val="-2"/>
          <w:w w:val="110"/>
          <w:sz w:val="19"/>
        </w:rPr>
        <w:t> </w:t>
      </w:r>
      <w:r>
        <w:rPr>
          <w:color w:val="050505"/>
          <w:w w:val="110"/>
          <w:sz w:val="19"/>
        </w:rPr>
        <w:t>semaine;</w:t>
      </w:r>
    </w:p>
    <w:p>
      <w:pPr>
        <w:pStyle w:val="ListParagraph"/>
        <w:numPr>
          <w:ilvl w:val="0"/>
          <w:numId w:val="1"/>
        </w:numPr>
        <w:tabs>
          <w:tab w:pos="846" w:val="left" w:leader="none"/>
          <w:tab w:pos="847" w:val="left" w:leader="none"/>
        </w:tabs>
        <w:spacing w:line="240" w:lineRule="auto" w:before="171" w:after="0"/>
        <w:ind w:left="846" w:right="0" w:hanging="357"/>
        <w:jc w:val="left"/>
        <w:rPr>
          <w:sz w:val="19"/>
        </w:rPr>
      </w:pPr>
      <w:r>
        <w:rPr>
          <w:color w:val="050505"/>
          <w:w w:val="105"/>
          <w:sz w:val="19"/>
        </w:rPr>
        <w:t>Le salaire sera discuté et sera basé sur l'expérience et les</w:t>
      </w:r>
      <w:r>
        <w:rPr>
          <w:color w:val="050505"/>
          <w:spacing w:val="31"/>
          <w:w w:val="105"/>
          <w:sz w:val="19"/>
        </w:rPr>
        <w:t> </w:t>
      </w:r>
      <w:r>
        <w:rPr>
          <w:color w:val="050505"/>
          <w:w w:val="105"/>
          <w:sz w:val="19"/>
        </w:rPr>
        <w:t>qualifications;</w:t>
      </w:r>
    </w:p>
    <w:p>
      <w:pPr>
        <w:pStyle w:val="ListParagraph"/>
        <w:numPr>
          <w:ilvl w:val="0"/>
          <w:numId w:val="1"/>
        </w:numPr>
        <w:tabs>
          <w:tab w:pos="845" w:val="left" w:leader="none"/>
          <w:tab w:pos="847" w:val="left" w:leader="none"/>
        </w:tabs>
        <w:spacing w:line="240" w:lineRule="auto" w:before="170" w:after="0"/>
        <w:ind w:left="846" w:right="0" w:hanging="357"/>
        <w:jc w:val="left"/>
        <w:rPr>
          <w:sz w:val="19"/>
        </w:rPr>
      </w:pPr>
      <w:r>
        <w:rPr>
          <w:color w:val="050505"/>
          <w:w w:val="105"/>
          <w:sz w:val="19"/>
        </w:rPr>
        <w:t>Date de début </w:t>
      </w:r>
      <w:r>
        <w:rPr>
          <w:color w:val="212121"/>
          <w:w w:val="105"/>
          <w:sz w:val="19"/>
        </w:rPr>
        <w:t>: </w:t>
      </w:r>
      <w:r>
        <w:rPr>
          <w:color w:val="050505"/>
          <w:w w:val="105"/>
          <w:sz w:val="19"/>
        </w:rPr>
        <w:t>Dès que</w:t>
      </w:r>
      <w:r>
        <w:rPr>
          <w:color w:val="050505"/>
          <w:spacing w:val="-31"/>
          <w:w w:val="105"/>
          <w:sz w:val="19"/>
        </w:rPr>
        <w:t> </w:t>
      </w:r>
      <w:r>
        <w:rPr>
          <w:color w:val="050505"/>
          <w:w w:val="105"/>
          <w:sz w:val="19"/>
        </w:rPr>
        <w:t>possible.</w:t>
      </w:r>
    </w:p>
    <w:p>
      <w:pPr>
        <w:pStyle w:val="BodyText"/>
        <w:spacing w:line="276" w:lineRule="auto"/>
        <w:ind w:left="122" w:right="566" w:firstLine="3"/>
        <w:rPr>
          <w:rFonts w:ascii="Times New Roman" w:hAnsi="Times New Roman"/>
          <w:sz w:val="21"/>
        </w:rPr>
      </w:pPr>
      <w:r>
        <w:rPr>
          <w:color w:val="050505"/>
          <w:w w:val="105"/>
        </w:rPr>
        <w:t>Les personnes intéressées doivent faire parvenir leur lettre de motivation et curriculum vitae en personne, par la poste ou par courriel avant </w:t>
      </w:r>
      <w:r>
        <w:rPr>
          <w:b/>
          <w:color w:val="050505"/>
          <w:w w:val="105"/>
        </w:rPr>
        <w:t>16h, le jeudi 1er octobre 2026, </w:t>
      </w:r>
      <w:r>
        <w:rPr>
          <w:rFonts w:ascii="Times New Roman" w:hAnsi="Times New Roman"/>
          <w:color w:val="050505"/>
          <w:w w:val="105"/>
          <w:sz w:val="21"/>
        </w:rPr>
        <w:t>à </w:t>
      </w:r>
      <w:r>
        <w:rPr>
          <w:rFonts w:ascii="Times New Roman" w:hAnsi="Times New Roman"/>
          <w:color w:val="212121"/>
          <w:w w:val="105"/>
          <w:sz w:val="21"/>
        </w:rPr>
        <w:t>:</w:t>
      </w:r>
    </w:p>
    <w:p>
      <w:pPr>
        <w:pStyle w:val="Heading2"/>
        <w:ind w:left="117"/>
      </w:pPr>
      <w:r>
        <w:rPr>
          <w:color w:val="050505"/>
        </w:rPr>
        <w:t>Jacob Gale, Directeur général</w:t>
      </w:r>
    </w:p>
    <w:p>
      <w:pPr>
        <w:spacing w:line="295" w:lineRule="auto" w:before="45"/>
        <w:ind w:left="116" w:right="5759" w:firstLine="0"/>
        <w:jc w:val="left"/>
        <w:rPr>
          <w:b/>
          <w:sz w:val="19"/>
        </w:rPr>
      </w:pPr>
      <w:r>
        <w:rPr>
          <w:b/>
          <w:color w:val="050505"/>
          <w:sz w:val="19"/>
        </w:rPr>
        <w:t>69 rue Hôtel de Ville, Waltham (Québec) JOX 3HO Courriel </w:t>
      </w:r>
      <w:r>
        <w:rPr>
          <w:color w:val="050505"/>
          <w:sz w:val="19"/>
        </w:rPr>
        <w:t>:</w:t>
      </w:r>
      <w:r>
        <w:rPr>
          <w:color w:val="0C08D3"/>
          <w:sz w:val="19"/>
        </w:rPr>
        <w:t> </w:t>
      </w:r>
      <w:hyperlink r:id="rId5">
        <w:r>
          <w:rPr>
            <w:b/>
            <w:color w:val="0C08D3"/>
            <w:sz w:val="19"/>
            <w:u w:val="thick" w:color="0C08D3"/>
          </w:rPr>
          <w:t>municipalite.waltham@mrcpontiac.qc.ca</w:t>
        </w:r>
      </w:hyperlink>
    </w:p>
    <w:p>
      <w:pPr>
        <w:pStyle w:val="BodyText"/>
        <w:spacing w:before="4"/>
        <w:ind w:firstLine="0"/>
        <w:rPr>
          <w:b/>
          <w:sz w:val="26"/>
        </w:rPr>
      </w:pPr>
    </w:p>
    <w:p>
      <w:pPr>
        <w:spacing w:before="0"/>
        <w:ind w:left="1463" w:right="0" w:firstLine="0"/>
        <w:jc w:val="left"/>
        <w:rPr>
          <w:sz w:val="16"/>
        </w:rPr>
      </w:pPr>
      <w:r>
        <w:rPr>
          <w:color w:val="050505"/>
          <w:sz w:val="16"/>
        </w:rPr>
        <w:t>Nou</w:t>
      </w:r>
      <w:r>
        <w:rPr>
          <w:color w:val="212121"/>
          <w:sz w:val="16"/>
        </w:rPr>
        <w:t>s </w:t>
      </w:r>
      <w:r>
        <w:rPr>
          <w:color w:val="050505"/>
          <w:sz w:val="16"/>
        </w:rPr>
        <w:t>vou</w:t>
      </w:r>
      <w:r>
        <w:rPr>
          <w:color w:val="212121"/>
          <w:sz w:val="16"/>
        </w:rPr>
        <w:t>s </w:t>
      </w:r>
      <w:r>
        <w:rPr>
          <w:color w:val="050505"/>
          <w:sz w:val="16"/>
        </w:rPr>
        <w:t>remercion</w:t>
      </w:r>
      <w:r>
        <w:rPr>
          <w:color w:val="212121"/>
          <w:sz w:val="16"/>
        </w:rPr>
        <w:t>s </w:t>
      </w:r>
      <w:r>
        <w:rPr>
          <w:color w:val="050505"/>
          <w:sz w:val="16"/>
        </w:rPr>
        <w:t>de po</w:t>
      </w:r>
      <w:r>
        <w:rPr>
          <w:color w:val="212121"/>
          <w:sz w:val="16"/>
        </w:rPr>
        <w:t>s</w:t>
      </w:r>
      <w:r>
        <w:rPr>
          <w:color w:val="050505"/>
          <w:sz w:val="16"/>
        </w:rPr>
        <w:t>er votre candidature, cependant </w:t>
      </w:r>
      <w:r>
        <w:rPr>
          <w:color w:val="212121"/>
          <w:sz w:val="16"/>
        </w:rPr>
        <w:t>s</w:t>
      </w:r>
      <w:r>
        <w:rPr>
          <w:color w:val="050505"/>
          <w:sz w:val="16"/>
        </w:rPr>
        <w:t>eules le</w:t>
      </w:r>
      <w:r>
        <w:rPr>
          <w:color w:val="212121"/>
          <w:sz w:val="16"/>
        </w:rPr>
        <w:t>s </w:t>
      </w:r>
      <w:r>
        <w:rPr>
          <w:color w:val="050505"/>
          <w:sz w:val="16"/>
        </w:rPr>
        <w:t>per </w:t>
      </w:r>
      <w:r>
        <w:rPr>
          <w:color w:val="212121"/>
          <w:sz w:val="16"/>
        </w:rPr>
        <w:t>s</w:t>
      </w:r>
      <w:r>
        <w:rPr>
          <w:color w:val="050505"/>
          <w:sz w:val="16"/>
        </w:rPr>
        <w:t>onne</w:t>
      </w:r>
      <w:r>
        <w:rPr>
          <w:color w:val="212121"/>
          <w:sz w:val="16"/>
        </w:rPr>
        <w:t>s </w:t>
      </w:r>
      <w:r>
        <w:rPr>
          <w:color w:val="050505"/>
          <w:sz w:val="16"/>
        </w:rPr>
        <w:t>ret enue</w:t>
      </w:r>
      <w:r>
        <w:rPr>
          <w:color w:val="212121"/>
          <w:sz w:val="16"/>
        </w:rPr>
        <w:t>s </w:t>
      </w:r>
      <w:r>
        <w:rPr>
          <w:color w:val="050505"/>
          <w:sz w:val="16"/>
        </w:rPr>
        <w:t>feront l</w:t>
      </w:r>
      <w:r>
        <w:rPr>
          <w:color w:val="3F3F3F"/>
          <w:sz w:val="16"/>
        </w:rPr>
        <w:t>'</w:t>
      </w:r>
      <w:r>
        <w:rPr>
          <w:color w:val="050505"/>
          <w:sz w:val="16"/>
        </w:rPr>
        <w:t>objet d</w:t>
      </w:r>
      <w:r>
        <w:rPr>
          <w:color w:val="3F3F3F"/>
          <w:sz w:val="16"/>
        </w:rPr>
        <w:t>' </w:t>
      </w:r>
      <w:r>
        <w:rPr>
          <w:color w:val="050505"/>
          <w:sz w:val="16"/>
        </w:rPr>
        <w:t>un </w:t>
      </w:r>
      <w:r>
        <w:rPr>
          <w:color w:val="212121"/>
          <w:sz w:val="16"/>
        </w:rPr>
        <w:t>s</w:t>
      </w:r>
      <w:r>
        <w:rPr>
          <w:color w:val="050505"/>
          <w:sz w:val="16"/>
        </w:rPr>
        <w:t>uiv</w:t>
      </w:r>
      <w:r>
        <w:rPr>
          <w:color w:val="212121"/>
          <w:sz w:val="16"/>
        </w:rPr>
        <w:t>i.</w:t>
      </w:r>
    </w:p>
    <w:sectPr>
      <w:type w:val="continuous"/>
      <w:pgSz w:w="12240" w:h="15840"/>
      <w:pgMar w:top="240" w:bottom="280" w:left="62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43" w:hanging="356"/>
      </w:pPr>
      <w:rPr>
        <w:rFonts w:hint="default" w:ascii="Arial" w:hAnsi="Arial" w:eastAsia="Arial" w:cs="Arial"/>
        <w:color w:val="050505"/>
        <w:w w:val="91"/>
        <w:sz w:val="19"/>
        <w:szCs w:val="19"/>
      </w:rPr>
    </w:lvl>
    <w:lvl w:ilvl="1">
      <w:start w:val="0"/>
      <w:numFmt w:val="bullet"/>
      <w:lvlText w:val="•"/>
      <w:lvlJc w:val="left"/>
      <w:pPr>
        <w:ind w:left="1860" w:hanging="3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80" w:hanging="3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00" w:hanging="3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20" w:hanging="3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40" w:hanging="3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960" w:hanging="3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980" w:hanging="3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000" w:hanging="35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>
      <w:spacing w:before="171"/>
      <w:ind w:hanging="357"/>
    </w:pPr>
    <w:rPr>
      <w:rFonts w:ascii="Arial" w:hAnsi="Arial" w:eastAsia="Arial" w:cs="Arial"/>
      <w:sz w:val="19"/>
      <w:szCs w:val="19"/>
    </w:rPr>
  </w:style>
  <w:style w:styleId="Heading1" w:type="paragraph">
    <w:name w:val="Heading 1"/>
    <w:basedOn w:val="Normal"/>
    <w:uiPriority w:val="1"/>
    <w:qFormat/>
    <w:pPr>
      <w:spacing w:before="93"/>
      <w:ind w:left="115"/>
      <w:outlineLvl w:val="1"/>
    </w:pPr>
    <w:rPr>
      <w:rFonts w:ascii="Arial" w:hAnsi="Arial" w:eastAsia="Arial" w:cs="Arial"/>
      <w:b/>
      <w:bCs/>
      <w:sz w:val="21"/>
      <w:szCs w:val="21"/>
      <w:u w:val="single" w:color="000000"/>
    </w:rPr>
  </w:style>
  <w:style w:styleId="Heading2" w:type="paragraph">
    <w:name w:val="Heading 2"/>
    <w:basedOn w:val="Normal"/>
    <w:uiPriority w:val="1"/>
    <w:qFormat/>
    <w:pPr>
      <w:spacing w:before="10"/>
      <w:ind w:left="116"/>
      <w:outlineLvl w:val="2"/>
    </w:pPr>
    <w:rPr>
      <w:rFonts w:ascii="Arial" w:hAnsi="Arial" w:eastAsia="Arial" w:cs="Arial"/>
      <w:b/>
      <w:bCs/>
      <w:sz w:val="19"/>
      <w:szCs w:val="19"/>
    </w:rPr>
  </w:style>
  <w:style w:styleId="ListParagraph" w:type="paragraph">
    <w:name w:val="List Paragraph"/>
    <w:basedOn w:val="Normal"/>
    <w:uiPriority w:val="1"/>
    <w:qFormat/>
    <w:pPr>
      <w:spacing w:before="171"/>
      <w:ind w:left="846" w:hanging="357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unicipalite.waltham@mrcpontiac.qc.ca" TargetMode="Externa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Annik</dc:creator>
  <dc:title>Agente administrative -AFFICHE - 3 octobre francais (002)</dc:title>
  <dcterms:created xsi:type="dcterms:W3CDTF">2026-09-21T14:18:03Z</dcterms:created>
  <dcterms:modified xsi:type="dcterms:W3CDTF">2026-09-21T14:18:03Z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2026-09-21T00:00:00Z</vt:filetime>
  </property>
</Properties>
</file>